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BEC" w:rsidRPr="00B67BEC" w:rsidRDefault="00DB1778" w:rsidP="00B67BEC">
      <w:pPr>
        <w:shd w:val="clear" w:color="auto" w:fill="FFFFFF"/>
        <w:spacing w:after="91" w:line="240" w:lineRule="auto"/>
        <w:ind w:left="182" w:right="510"/>
        <w:rPr>
          <w:rFonts w:ascii="Arial Unicode MS" w:eastAsia="Arial Unicode MS" w:hAnsi="Arial Unicode MS" w:cs="Arial Unicode MS" w:hint="eastAsia"/>
          <w:color w:val="80962A"/>
          <w:sz w:val="18"/>
          <w:szCs w:val="18"/>
          <w:lang w:eastAsia="ca-ES"/>
        </w:rPr>
      </w:pPr>
      <w:r>
        <w:rPr>
          <w:rFonts w:ascii="Arial Unicode MS" w:eastAsia="Arial Unicode MS" w:hAnsi="Arial Unicode MS" w:cs="Arial Unicode MS" w:hint="eastAsia"/>
          <w:color w:val="000000"/>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45" type="#_x0000_t154" style="width:336.3pt;height:129.4pt" fillcolor="#90c">
            <v:fill r:id="rId4" o:title="Tauler de dames gran" opacity="0" o:opacity2="0" type="pattern"/>
            <v:shadow color="#868686"/>
            <o:extrusion v:ext="view" color="#060" on="t" rotationangle=",-18" viewpoint="-34.72222mm" viewpointorigin="-.5" skewangle="-45" brightness="4000f" lightposition="0,-50000" lightlevel="52000f" lightposition2="0,50000" lightlevel2="14000f" type="perspective" lightharsh2="t"/>
            <v:textpath style="font-family:&quot;Arial Black&quot;;font-size:60pt;v-text-kern:t" trim="t" fitpath="t" string="CatalunyA"/>
          </v:shape>
        </w:pict>
      </w:r>
      <w:r w:rsidR="00086C8D">
        <w:rPr>
          <w:rFonts w:ascii="Arial Unicode MS" w:eastAsia="Arial Unicode MS" w:hAnsi="Arial Unicode MS" w:cs="Arial Unicode MS" w:hint="eastAsia"/>
          <w:color w:val="000000"/>
        </w:rPr>
        <w:t>La prehistòria del Principat de Catalunya, al costat de fenòmens comuns a la resta dels Països Catalans (continentals, puix que les Balears tingueren personalitat pròpia fins a l'època romana)</w:t>
      </w:r>
      <w:r w:rsidR="00086C8D" w:rsidRPr="00086C8D">
        <w:rPr>
          <w:rFonts w:ascii="Arial Unicode MS" w:eastAsia="Arial Unicode MS" w:hAnsi="Arial Unicode MS" w:cs="Arial Unicode MS" w:hint="eastAsia"/>
          <w:color w:val="000000"/>
        </w:rPr>
        <w:t xml:space="preserve"> </w:t>
      </w:r>
      <w:r w:rsidR="00086C8D">
        <w:rPr>
          <w:rFonts w:ascii="Arial Unicode MS" w:eastAsia="Arial Unicode MS" w:hAnsi="Arial Unicode MS" w:cs="Arial Unicode MS" w:hint="eastAsia"/>
          <w:color w:val="000000"/>
        </w:rPr>
        <w:t>), en presenta uns altres que són específics, conseqüència de l'enllaç més directe amb Euro</w:t>
      </w:r>
      <w:r w:rsidR="00B67BEC">
        <w:rPr>
          <w:rFonts w:ascii="Arial Unicode MS" w:eastAsia="Arial Unicode MS" w:hAnsi="Arial Unicode MS" w:cs="Arial Unicode MS"/>
          <w:color w:val="000000"/>
        </w:rPr>
        <w:t xml:space="preserve">pa, </w:t>
      </w:r>
      <w:r w:rsidR="00B67BEC">
        <w:rPr>
          <w:rFonts w:ascii="Arial Unicode MS" w:eastAsia="Arial Unicode MS" w:hAnsi="Arial Unicode MS" w:cs="Arial Unicode MS" w:hint="eastAsia"/>
          <w:color w:val="000000"/>
        </w:rPr>
        <w:t>fets que es marquen sobretot a la segona època neolítica (sepulcres de fossa) i a la primera edat del ferro, a l'època de les invasions indoeuropees (època hallstàttica).</w:t>
      </w:r>
      <w:r w:rsidR="00B67BEC" w:rsidRPr="00B67BEC">
        <w:rPr>
          <w:rFonts w:ascii="Arial Unicode MS" w:eastAsia="Arial Unicode MS" w:hAnsi="Arial Unicode MS" w:cs="Arial Unicode MS" w:hint="eastAsia"/>
          <w:color w:val="80962A"/>
          <w:sz w:val="18"/>
          <w:szCs w:val="18"/>
          <w:lang w:eastAsia="ca-ES"/>
        </w:rPr>
        <w:br/>
      </w:r>
      <w:r w:rsidR="00B67BEC" w:rsidRPr="00B67BEC">
        <w:rPr>
          <w:rFonts w:ascii="Arial Unicode MS" w:eastAsia="Arial Unicode MS" w:hAnsi="Arial Unicode MS" w:cs="Arial Unicode MS" w:hint="eastAsia"/>
          <w:color w:val="80962A"/>
          <w:sz w:val="18"/>
          <w:szCs w:val="18"/>
          <w:lang w:eastAsia="ca-ES"/>
        </w:rPr>
        <w:br/>
      </w:r>
    </w:p>
    <w:p w:rsidR="0024003D" w:rsidRDefault="00B67BEC" w:rsidP="00B67BEC">
      <w:pPr>
        <w:rPr>
          <w:rFonts w:ascii="Arial Unicode MS" w:eastAsia="Arial Unicode MS" w:hAnsi="Arial Unicode MS" w:cs="Arial Unicode MS"/>
          <w:color w:val="000000"/>
          <w:sz w:val="24"/>
          <w:szCs w:val="24"/>
          <w:lang w:eastAsia="ca-ES"/>
        </w:rPr>
      </w:pPr>
      <w:r w:rsidRPr="00B67BEC">
        <w:rPr>
          <w:rFonts w:ascii="Arial Unicode MS" w:eastAsia="Arial Unicode MS" w:hAnsi="Arial Unicode MS" w:cs="Arial Unicode MS" w:hint="eastAsia"/>
          <w:color w:val="000000"/>
          <w:sz w:val="24"/>
          <w:szCs w:val="24"/>
          <w:lang w:eastAsia="ca-ES"/>
        </w:rPr>
        <w:t>Del paleolític mitjà hi ha la troballa antropològica de l'home de Neandertal, la mandíbula de Banyoles, i diverses coves amb jaciment mosterià: a Capellades, l'abric Romaní o balma del Fossar Vell i l'estació Agut; a Moià, la cova de les Teixoneres; a Reus, el jaciment de la bòbila Sugranyes. Del paleolític superior, sobresurt el grup de coves de Serinyà (bora gran d'en Carreres, cova dels Encantats i el reclau Viver), del Cau i la de les Goges de Sant Julià de Ramis i, a les comarques meridionals, el jaciment de Sant Gregori de Falset, les Planes del Molar, abric de l'Areny de Mont-roig i la balma de Cabrafeixet. Fins els anys vuitanta hom considerà aquestes dues àrees com a culturalment diferenciades, la del nord sotmesa a influències ultra</w:t>
      </w:r>
      <w:r>
        <w:rPr>
          <w:rFonts w:ascii="Arial Unicode MS" w:eastAsia="Arial Unicode MS" w:hAnsi="Arial Unicode MS" w:cs="Arial Unicode MS"/>
          <w:color w:val="000000"/>
          <w:sz w:val="24"/>
          <w:szCs w:val="24"/>
          <w:lang w:eastAsia="ca-ES"/>
        </w:rPr>
        <w:t xml:space="preserve"> </w:t>
      </w:r>
      <w:r w:rsidRPr="00B67BEC">
        <w:rPr>
          <w:rFonts w:ascii="Arial Unicode MS" w:eastAsia="Arial Unicode MS" w:hAnsi="Arial Unicode MS" w:cs="Arial Unicode MS" w:hint="eastAsia"/>
          <w:color w:val="000000"/>
          <w:sz w:val="24"/>
          <w:szCs w:val="24"/>
          <w:lang w:eastAsia="ca-ES"/>
        </w:rPr>
        <w:t>pirinenques, i la del sud a influències més de tipus mediterrani.</w:t>
      </w:r>
      <w:r w:rsidRPr="00B67BEC">
        <w:rPr>
          <w:rFonts w:ascii="Arial Unicode MS" w:eastAsia="Arial Unicode MS" w:hAnsi="Arial Unicode MS" w:cs="Arial Unicode MS" w:hint="eastAsia"/>
          <w:color w:val="000000"/>
        </w:rPr>
        <w:t xml:space="preserve"> </w:t>
      </w:r>
      <w:r>
        <w:rPr>
          <w:rFonts w:ascii="Arial Unicode MS" w:eastAsia="Arial Unicode MS" w:hAnsi="Arial Unicode MS" w:cs="Arial Unicode MS" w:hint="eastAsia"/>
          <w:color w:val="000000"/>
        </w:rPr>
        <w:t xml:space="preserve">El pas cap a l'època geològica i climàtica actual, amb el període prehistòric dit epipaleolític o mesolític, és significatiu sobretot a la cova del Filador de Margalef, i també probablement aleshores començaren alguns dels tallers de sílex de superfície que tenen com a centre la comarca del Priorat. Un cas a part són les coves del massís del Montgrí, a l'Empordà, amb una indústria considerada parenta de l'asturiana. Respecte a l'art paleolític, Catalunya restà gairebé com un parèntesi geogràfic entre el gran art de les coves del nord dels Pirineus i les manifestacions, més </w:t>
      </w:r>
      <w:r>
        <w:rPr>
          <w:rFonts w:ascii="Arial Unicode MS" w:eastAsia="Arial Unicode MS" w:hAnsi="Arial Unicode MS" w:cs="Arial Unicode MS" w:hint="eastAsia"/>
          <w:color w:val="000000"/>
        </w:rPr>
        <w:lastRenderedPageBreak/>
        <w:t>esporàdiques, però importants, d'alguna cova del País Valencià, com la del Parpalló.</w:t>
      </w:r>
      <w:r w:rsidR="00DB1778" w:rsidRPr="00DB1778">
        <w:rPr>
          <w:rFonts w:ascii="Arial Unicode MS" w:eastAsia="Arial Unicode MS" w:hAnsi="Arial Unicode MS" w:cs="Arial Unicode MS" w:hint="eastAsia"/>
          <w:color w:val="000000"/>
        </w:rPr>
        <w:t xml:space="preserve"> </w:t>
      </w:r>
      <w:r w:rsidR="00DB1778">
        <w:rPr>
          <w:rFonts w:ascii="Arial Unicode MS" w:eastAsia="Arial Unicode MS" w:hAnsi="Arial Unicode MS" w:cs="Arial Unicode MS" w:hint="eastAsia"/>
          <w:color w:val="000000"/>
        </w:rPr>
        <w:t xml:space="preserve">El més antic és germà del que hi ha a tot el litoral mediterrani occidental, que té com a manifestació més típica la ceràmica impresa, amb la variant dita </w:t>
      </w:r>
      <w:r w:rsidR="00DB1778">
        <w:rPr>
          <w:rFonts w:ascii="Arial Unicode MS" w:eastAsia="Arial Unicode MS" w:hAnsi="Arial Unicode MS" w:cs="Arial Unicode MS" w:hint="eastAsia"/>
          <w:i/>
          <w:iCs/>
          <w:color w:val="000000"/>
        </w:rPr>
        <w:t xml:space="preserve">cardial </w:t>
      </w:r>
      <w:r w:rsidR="00DB1778">
        <w:rPr>
          <w:rFonts w:ascii="Arial Unicode MS" w:eastAsia="Arial Unicode MS" w:hAnsi="Arial Unicode MS" w:cs="Arial Unicode MS" w:hint="eastAsia"/>
          <w:color w:val="000000"/>
        </w:rPr>
        <w:t xml:space="preserve">o també </w:t>
      </w:r>
      <w:r w:rsidR="00DB1778">
        <w:rPr>
          <w:rFonts w:ascii="Arial Unicode MS" w:eastAsia="Arial Unicode MS" w:hAnsi="Arial Unicode MS" w:cs="Arial Unicode MS" w:hint="eastAsia"/>
          <w:i/>
          <w:iCs/>
          <w:color w:val="000000"/>
        </w:rPr>
        <w:t>montserratina</w:t>
      </w:r>
      <w:r w:rsidR="00DB1778">
        <w:rPr>
          <w:rFonts w:ascii="Arial Unicode MS" w:eastAsia="Arial Unicode MS" w:hAnsi="Arial Unicode MS" w:cs="Arial Unicode MS" w:hint="eastAsia"/>
          <w:color w:val="000000"/>
        </w:rPr>
        <w:t>. Hom la troba en coves de bona part del territori, des del reclau Viver de Serinyà fins als volts de l'Ebre (cova III de la serra de les Quimeres de Pradell, i la del Vidre de Mas de Barberans), enllaçant cap al nord amb les del Llenguadoc, i cap al sud, amb les del País Valencià. Es destaca el grup de Montserrat (coves Gran i Freda), el qual sembla que fou sobretot de pastors (el conreu era secundari) i visqué durant el quart mil·lenni. Cal dir, però, que la localització de nombrosos hàbitats a l'aire lliure del neolític antic indica que l'economia bàsicament ramadera no fou sempre dominant en aquest període, i que sovint cal pensar en una economia agrora</w:t>
      </w:r>
      <w:r w:rsidR="00DB1778">
        <w:rPr>
          <w:rFonts w:ascii="Arial Unicode MS" w:eastAsia="Arial Unicode MS" w:hAnsi="Arial Unicode MS" w:cs="Arial Unicode MS"/>
          <w:color w:val="000000"/>
        </w:rPr>
        <w:t xml:space="preserve"> </w:t>
      </w:r>
      <w:proofErr w:type="spellStart"/>
      <w:r w:rsidR="00DB1778">
        <w:rPr>
          <w:rFonts w:ascii="Arial Unicode MS" w:eastAsia="Arial Unicode MS" w:hAnsi="Arial Unicode MS" w:cs="Arial Unicode MS" w:hint="eastAsia"/>
          <w:color w:val="000000"/>
        </w:rPr>
        <w:t>adera</w:t>
      </w:r>
      <w:proofErr w:type="spellEnd"/>
      <w:r w:rsidR="00DB1778">
        <w:rPr>
          <w:rFonts w:ascii="Arial Unicode MS" w:eastAsia="Arial Unicode MS" w:hAnsi="Arial Unicode MS" w:cs="Arial Unicode MS" w:hint="eastAsia"/>
          <w:color w:val="000000"/>
        </w:rPr>
        <w:t xml:space="preserve"> mixta.</w:t>
      </w:r>
      <w:r w:rsidRPr="00B67BEC">
        <w:rPr>
          <w:rFonts w:ascii="Arial Unicode MS" w:eastAsia="Arial Unicode MS" w:hAnsi="Arial Unicode MS" w:cs="Arial Unicode MS" w:hint="eastAsia"/>
          <w:color w:val="000000"/>
          <w:sz w:val="24"/>
          <w:szCs w:val="24"/>
          <w:lang w:eastAsia="ca-ES"/>
        </w:rPr>
        <w:t xml:space="preserve"> </w:t>
      </w:r>
    </w:p>
    <w:p w:rsidR="00DB1778" w:rsidRDefault="00DB1778" w:rsidP="00B67BEC">
      <w:pPr>
        <w:rPr>
          <w:rFonts w:ascii="Arial Unicode MS" w:eastAsia="Arial Unicode MS" w:hAnsi="Arial Unicode MS" w:cs="Arial Unicode MS"/>
          <w:color w:val="000000"/>
          <w:sz w:val="24"/>
          <w:szCs w:val="24"/>
          <w:lang w:eastAsia="ca-ES"/>
        </w:rPr>
      </w:pPr>
    </w:p>
    <w:p w:rsidR="00DB1778" w:rsidRDefault="00DB1778" w:rsidP="00B67BEC">
      <w:r>
        <w:rPr>
          <w:rFonts w:ascii="Arial Unicode MS" w:eastAsia="Arial Unicode MS" w:hAnsi="Arial Unicode MS" w:cs="Arial Unicode MS"/>
          <w:noProof/>
          <w:color w:val="0000FF"/>
          <w:sz w:val="18"/>
          <w:szCs w:val="18"/>
          <w:lang w:eastAsia="ca-E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51" type="#_x0000_t136" style="width:184.1pt;height:51.05pt">
            <v:shadow color="#868686"/>
            <v:textpath style="font-family:&quot;Arial Black&quot;;v-text-kern:t" trim="t" fitpath="t" string="Raul Azib"/>
          </v:shape>
        </w:pict>
      </w:r>
      <w:r w:rsidRPr="00DB1778">
        <w:rPr>
          <w:rFonts w:ascii="Arial Unicode MS" w:eastAsia="Arial Unicode MS" w:hAnsi="Arial Unicode MS" w:cs="Arial Unicode MS"/>
          <w:noProof/>
          <w:color w:val="0000FF"/>
          <w:sz w:val="18"/>
          <w:szCs w:val="18"/>
          <w:lang w:eastAsia="ca-ES"/>
        </w:rPr>
        <w:drawing>
          <wp:inline distT="0" distB="0" distL="0" distR="0">
            <wp:extent cx="5400040" cy="2828636"/>
            <wp:effectExtent l="19050" t="0" r="0" b="0"/>
            <wp:docPr id="3" name="Imatge 14" descr="http://editor.enciclopedia.cat/medies/FOTO/FG001868.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editor.enciclopedia.cat/medies/FOTO/FG001868.JPG">
                      <a:hlinkClick r:id="rId5"/>
                    </pic:cNvPr>
                    <pic:cNvPicPr>
                      <a:picLocks noChangeAspect="1" noChangeArrowheads="1"/>
                    </pic:cNvPicPr>
                  </pic:nvPicPr>
                  <pic:blipFill>
                    <a:blip r:embed="rId6" cstate="print"/>
                    <a:srcRect/>
                    <a:stretch>
                      <a:fillRect/>
                    </a:stretch>
                  </pic:blipFill>
                  <pic:spPr bwMode="auto">
                    <a:xfrm>
                      <a:off x="0" y="0"/>
                      <a:ext cx="5400040" cy="2828636"/>
                    </a:xfrm>
                    <a:prstGeom prst="rect">
                      <a:avLst/>
                    </a:prstGeom>
                    <a:noFill/>
                    <a:ln w="9525">
                      <a:noFill/>
                      <a:miter lim="800000"/>
                      <a:headEnd/>
                      <a:tailEnd/>
                    </a:ln>
                  </pic:spPr>
                </pic:pic>
              </a:graphicData>
            </a:graphic>
          </wp:inline>
        </w:drawing>
      </w:r>
    </w:p>
    <w:p w:rsidR="00DB1778" w:rsidRDefault="00DB1778" w:rsidP="00B67BEC">
      <w:r>
        <w:rPr>
          <w:rFonts w:ascii="Arial Unicode MS" w:eastAsia="Arial Unicode MS" w:hAnsi="Arial Unicode MS" w:cs="Arial Unicode MS" w:hint="eastAsia"/>
          <w:color w:val="000000"/>
        </w:rPr>
        <w:lastRenderedPageBreak/>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i1049" type="#_x0000_t163" style="width:336.3pt;height:129.4pt"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font-size:60pt;v-text-kern:t" trim="t" fitpath="t" xscale="f" string="CatalunyA"/>
          </v:shape>
        </w:pict>
      </w:r>
    </w:p>
    <w:p w:rsidR="00DB1778" w:rsidRDefault="00DB1778" w:rsidP="00B67BEC">
      <w:r>
        <w:pict>
          <v:shape id="_x0000_i1047" type="#_x0000_t163" style="width:423.8pt;height:76.55pt"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Raul Azib"/>
          </v:shape>
        </w:pict>
      </w:r>
    </w:p>
    <w:sectPr w:rsidR="00DB1778" w:rsidSect="0024003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characterSpacingControl w:val="doNotCompress"/>
  <w:compat/>
  <w:rsids>
    <w:rsidRoot w:val="00086C8D"/>
    <w:rsid w:val="00086C8D"/>
    <w:rsid w:val="0024003D"/>
    <w:rsid w:val="004E3EC7"/>
    <w:rsid w:val="00B67BEC"/>
    <w:rsid w:val="00DB1778"/>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03D"/>
  </w:style>
  <w:style w:type="character" w:default="1" w:styleId="Tipusdelletraperdefectedelpargraf">
    <w:name w:val="Default Paragraph Font"/>
    <w:uiPriority w:val="1"/>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unhideWhenUsed/>
    <w:rsid w:val="00B67BEC"/>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B67B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4728412">
      <w:bodyDiv w:val="1"/>
      <w:marLeft w:val="0"/>
      <w:marRight w:val="0"/>
      <w:marTop w:val="0"/>
      <w:marBottom w:val="0"/>
      <w:divBdr>
        <w:top w:val="none" w:sz="0" w:space="0" w:color="auto"/>
        <w:left w:val="none" w:sz="0" w:space="0" w:color="auto"/>
        <w:bottom w:val="none" w:sz="0" w:space="0" w:color="auto"/>
        <w:right w:val="none" w:sz="0" w:space="0" w:color="auto"/>
      </w:divBdr>
      <w:divsChild>
        <w:div w:id="460076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enciclopedia.cat/fitxa_v2.jsp?NDCHEC=0016436&amp;SFR=1" TargetMode="External"/><Relationship Id="rId4"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420</Words>
  <Characters>2398</Characters>
  <Application>Microsoft Office Word</Application>
  <DocSecurity>0</DocSecurity>
  <Lines>19</Lines>
  <Paragraphs>5</Paragraphs>
  <ScaleCrop>false</ScaleCrop>
  <HeadingPairs>
    <vt:vector size="2" baseType="variant">
      <vt:variant>
        <vt:lpstr>Títol</vt:lpstr>
      </vt:variant>
      <vt:variant>
        <vt:i4>1</vt:i4>
      </vt:variant>
    </vt:vector>
  </HeadingPairs>
  <TitlesOfParts>
    <vt:vector size="1" baseType="lpstr">
      <vt:lpstr/>
    </vt:vector>
  </TitlesOfParts>
  <Company>Departament d'Educació</Company>
  <LinksUpToDate>false</LinksUpToDate>
  <CharactersWithSpaces>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Generalitat de Catalunya</dc:creator>
  <cp:keywords/>
  <dc:description/>
  <cp:lastModifiedBy>Generalitat de Catalunya</cp:lastModifiedBy>
  <cp:revision>1</cp:revision>
  <dcterms:created xsi:type="dcterms:W3CDTF">2011-01-21T11:19:00Z</dcterms:created>
  <dcterms:modified xsi:type="dcterms:W3CDTF">2011-01-21T11:51:00Z</dcterms:modified>
</cp:coreProperties>
</file>